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934911" w:rsidRPr="00450AFD" w:rsidTr="00D40CE9">
        <w:trPr>
          <w:trHeight w:val="454"/>
        </w:trPr>
        <w:tc>
          <w:tcPr>
            <w:tcW w:w="9000" w:type="dxa"/>
            <w:shd w:val="clear" w:color="auto" w:fill="auto"/>
            <w:vAlign w:val="center"/>
          </w:tcPr>
          <w:p w:rsidR="00934911" w:rsidRPr="0024664B" w:rsidRDefault="008C4DA1" w:rsidP="00761445">
            <w:pPr>
              <w:shd w:val="clear" w:color="auto" w:fill="00B0F0"/>
              <w:jc w:val="right"/>
              <w:rPr>
                <w:rFonts w:ascii="Arial" w:hAnsi="Arial" w:cs="Arial"/>
                <w:b/>
              </w:rPr>
            </w:pPr>
            <w:r w:rsidRPr="00450AFD">
              <w:rPr>
                <w:rFonts w:ascii="Cambria" w:hAnsi="Cambria" w:cs="Arial"/>
                <w:b/>
                <w:color w:val="FFFFFF"/>
                <w:sz w:val="28"/>
                <w:szCs w:val="28"/>
                <w:lang w:val="id-ID"/>
              </w:rPr>
              <w:t>RINGKASAN</w:t>
            </w:r>
            <w:r w:rsidR="0024664B">
              <w:rPr>
                <w:rFonts w:ascii="Cambria" w:hAnsi="Cambria" w:cs="Arial"/>
                <w:b/>
                <w:color w:val="FFFFFF"/>
                <w:sz w:val="28"/>
                <w:szCs w:val="28"/>
              </w:rPr>
              <w:t xml:space="preserve"> LAPORAN KEUANGAN</w:t>
            </w:r>
          </w:p>
        </w:tc>
      </w:tr>
    </w:tbl>
    <w:p w:rsidR="00761445" w:rsidRDefault="00761445" w:rsidP="000751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289"/>
      </w:tblGrid>
      <w:tr w:rsidR="00761445" w:rsidRPr="00DC1890" w:rsidTr="00761B0C">
        <w:tc>
          <w:tcPr>
            <w:tcW w:w="9289" w:type="dxa"/>
            <w:tcBorders>
              <w:bottom w:val="nil"/>
            </w:tcBorders>
            <w:shd w:val="clear" w:color="auto" w:fill="C6D9F1" w:themeFill="text2" w:themeFillTint="33"/>
          </w:tcPr>
          <w:p w:rsidR="00761445" w:rsidRPr="006639FC" w:rsidRDefault="00761445" w:rsidP="00DC18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639FC">
              <w:rPr>
                <w:rFonts w:ascii="Arial" w:hAnsi="Arial" w:cs="Arial"/>
                <w:lang w:val="id-ID"/>
              </w:rPr>
              <w:t xml:space="preserve">Laporan Keuangan </w:t>
            </w:r>
            <w:r w:rsidR="00D8721C">
              <w:rPr>
                <w:rFonts w:ascii="Arial" w:hAnsi="Arial" w:cs="Arial"/>
                <w:lang w:val="id-ID"/>
              </w:rPr>
              <w:t>Universitas Tidar</w:t>
            </w:r>
            <w:r w:rsidR="006639FC" w:rsidRPr="006639FC">
              <w:rPr>
                <w:rFonts w:ascii="Arial" w:hAnsi="Arial" w:cs="Arial"/>
                <w:lang w:val="id-ID"/>
              </w:rPr>
              <w:t xml:space="preserve"> </w:t>
            </w:r>
            <w:r w:rsidRPr="006639FC">
              <w:rPr>
                <w:rFonts w:ascii="Arial" w:hAnsi="Arial" w:cs="Arial"/>
                <w:lang w:val="id-ID"/>
              </w:rPr>
              <w:t>Tahun 201</w:t>
            </w:r>
            <w:r w:rsidR="00471361" w:rsidRPr="006639FC">
              <w:rPr>
                <w:rFonts w:ascii="Arial" w:hAnsi="Arial" w:cs="Arial"/>
                <w:lang w:val="id-ID"/>
              </w:rPr>
              <w:t>5</w:t>
            </w:r>
            <w:r w:rsidRPr="006639FC">
              <w:rPr>
                <w:rFonts w:ascii="Arial" w:hAnsi="Arial" w:cs="Arial"/>
                <w:lang w:val="id-ID"/>
              </w:rPr>
              <w:t xml:space="preserve"> ini telah disusun dan disajikan sesuai dengan Peraturan Pemerintah Nomor 71 Tahun 2010 tentang Standar Akuntansi Pemerintahan (SAP)</w:t>
            </w:r>
            <w:r w:rsidR="006639FC" w:rsidRPr="006639FC">
              <w:rPr>
                <w:rFonts w:ascii="Arial" w:hAnsi="Arial" w:cs="Arial"/>
                <w:lang w:val="id-ID"/>
              </w:rPr>
              <w:t xml:space="preserve"> dan berdasarkan kaidah-kaidah pengelolaan keuangan yang sehat di lingkungan pemerintahan</w:t>
            </w:r>
            <w:r w:rsidRPr="006639FC">
              <w:rPr>
                <w:rFonts w:ascii="Arial" w:hAnsi="Arial" w:cs="Arial"/>
                <w:lang w:val="id-ID"/>
              </w:rPr>
              <w:t>.</w:t>
            </w:r>
            <w:r w:rsidR="006639FC" w:rsidRPr="006639FC">
              <w:rPr>
                <w:rFonts w:ascii="Arial" w:hAnsi="Arial" w:cs="Arial"/>
                <w:lang w:val="id-ID"/>
              </w:rPr>
              <w:t xml:space="preserve"> Laporan Keuangan ini meliputi:</w:t>
            </w:r>
          </w:p>
          <w:p w:rsidR="00A054C7" w:rsidRPr="00DC1890" w:rsidRDefault="00A054C7" w:rsidP="00DC189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45" w:rsidRPr="00DC1890" w:rsidTr="00761B0C">
        <w:tc>
          <w:tcPr>
            <w:tcW w:w="9289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761445" w:rsidRPr="00DC1890" w:rsidRDefault="00761445" w:rsidP="00DC189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color w:val="000080"/>
                <w:lang w:val="id-ID"/>
              </w:rPr>
            </w:pPr>
            <w:r w:rsidRPr="00DC1890">
              <w:rPr>
                <w:rFonts w:ascii="Arial" w:hAnsi="Arial" w:cs="Arial"/>
                <w:b/>
                <w:color w:val="000080"/>
                <w:lang w:val="id-ID"/>
              </w:rPr>
              <w:t xml:space="preserve">LAPORAN REALISASI ANGGARAN </w:t>
            </w:r>
          </w:p>
          <w:p w:rsidR="00761445" w:rsidRPr="006639FC" w:rsidRDefault="00761445" w:rsidP="00DC1890">
            <w:pPr>
              <w:pStyle w:val="BodyText3"/>
              <w:spacing w:before="12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id-ID"/>
              </w:rPr>
            </w:pPr>
            <w:r w:rsidRPr="006639FC">
              <w:rPr>
                <w:rFonts w:ascii="Arial" w:hAnsi="Arial" w:cs="Arial"/>
                <w:sz w:val="24"/>
                <w:szCs w:val="24"/>
                <w:lang w:val="id-ID"/>
              </w:rPr>
              <w:t xml:space="preserve">Laporan Realisasi Anggaran menggambarkan perbandingan antara anggaran dengan realisasinya, yang mencakup unsur-unsur </w:t>
            </w:r>
            <w:r w:rsidR="00B93076" w:rsidRPr="006639FC">
              <w:rPr>
                <w:rFonts w:ascii="Arial" w:hAnsi="Arial" w:cs="Arial"/>
                <w:sz w:val="24"/>
                <w:szCs w:val="24"/>
                <w:lang w:val="id-ID"/>
              </w:rPr>
              <w:t>P</w:t>
            </w:r>
            <w:r w:rsidRPr="006639FC">
              <w:rPr>
                <w:rFonts w:ascii="Arial" w:hAnsi="Arial" w:cs="Arial"/>
                <w:sz w:val="24"/>
                <w:szCs w:val="24"/>
                <w:lang w:val="id-ID"/>
              </w:rPr>
              <w:t>endapatan</w:t>
            </w:r>
            <w:r w:rsidR="00B93076" w:rsidRPr="006639FC">
              <w:rPr>
                <w:rFonts w:ascii="Arial" w:hAnsi="Arial" w:cs="Arial"/>
                <w:sz w:val="24"/>
                <w:szCs w:val="24"/>
                <w:lang w:val="id-ID"/>
              </w:rPr>
              <w:t>-LRA</w:t>
            </w:r>
            <w:r w:rsidRPr="006639FC">
              <w:rPr>
                <w:rFonts w:ascii="Arial" w:hAnsi="Arial" w:cs="Arial"/>
                <w:sz w:val="24"/>
                <w:szCs w:val="24"/>
                <w:lang w:val="id-ID"/>
              </w:rPr>
              <w:t xml:space="preserve"> dan </w:t>
            </w:r>
            <w:r w:rsidR="00B93076" w:rsidRPr="006639FC">
              <w:rPr>
                <w:rFonts w:ascii="Arial" w:hAnsi="Arial" w:cs="Arial"/>
                <w:sz w:val="24"/>
                <w:szCs w:val="24"/>
                <w:lang w:val="id-ID"/>
              </w:rPr>
              <w:t>B</w:t>
            </w:r>
            <w:r w:rsidRPr="006639FC">
              <w:rPr>
                <w:rFonts w:ascii="Arial" w:hAnsi="Arial" w:cs="Arial"/>
                <w:sz w:val="24"/>
                <w:szCs w:val="24"/>
                <w:lang w:val="id-ID"/>
              </w:rPr>
              <w:t xml:space="preserve">elanja selama periode 1 Januari sampai dengan 31 Desember </w:t>
            </w:r>
            <w:r w:rsidRPr="006639FC">
              <w:rPr>
                <w:rFonts w:ascii="Arial" w:hAnsi="Arial" w:cs="Arial"/>
                <w:sz w:val="24"/>
                <w:szCs w:val="24"/>
              </w:rPr>
              <w:t>201</w:t>
            </w:r>
            <w:r w:rsidR="00471361" w:rsidRPr="006639FC"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 w:rsidRPr="006639FC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761445" w:rsidRPr="00965FEB" w:rsidRDefault="00761445" w:rsidP="00DC1890">
            <w:pPr>
              <w:pStyle w:val="BodyText3"/>
              <w:spacing w:after="0" w:line="360" w:lineRule="auto"/>
              <w:jc w:val="both"/>
              <w:rPr>
                <w:rFonts w:ascii="Arial" w:hAnsi="Arial" w:cs="Arial"/>
                <w:smallCaps/>
                <w:color w:val="000000" w:themeColor="text1"/>
                <w:sz w:val="24"/>
                <w:szCs w:val="24"/>
                <w:lang w:val="id-ID"/>
              </w:rPr>
            </w:pPr>
            <w:r w:rsidRPr="006639FC">
              <w:rPr>
                <w:rFonts w:ascii="Arial" w:hAnsi="Arial" w:cs="Arial"/>
                <w:sz w:val="24"/>
                <w:szCs w:val="24"/>
                <w:lang w:val="id-ID"/>
              </w:rPr>
              <w:t>Realisasi Pendapatan Negara pada TA 201</w:t>
            </w:r>
            <w:r w:rsidR="00471361" w:rsidRPr="006639FC"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 w:rsidRPr="006639FC">
              <w:rPr>
                <w:rFonts w:ascii="Arial" w:hAnsi="Arial" w:cs="Arial"/>
                <w:sz w:val="24"/>
                <w:szCs w:val="24"/>
                <w:lang w:val="id-ID"/>
              </w:rPr>
              <w:t xml:space="preserve"> adalah berupa Pendapatan Negara Bukan Pajak sebesar 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Rp</w:t>
            </w:r>
            <w:r w:rsidR="00D8721C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. 8.740.727.783</w:t>
            </w:r>
            <w:r w:rsidR="008F2C14"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atau mencapai </w:t>
            </w:r>
            <w:r w:rsidR="00D8721C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56,06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persen dari estimasi </w:t>
            </w:r>
            <w:r w:rsidR="00B93076"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P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endapatan</w:t>
            </w:r>
            <w:r w:rsidR="00A9212C"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-LRA</w:t>
            </w:r>
            <w:r w:rsidR="00A9212C" w:rsidRPr="00965F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9212C"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sebesar</w:t>
            </w:r>
            <w:r w:rsidR="00A9212C" w:rsidRPr="00965F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Rp</w:t>
            </w:r>
            <w:r w:rsidR="00D8721C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. 15.591.005.000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. </w:t>
            </w:r>
          </w:p>
          <w:p w:rsidR="00761445" w:rsidRPr="00965FEB" w:rsidRDefault="00761445" w:rsidP="00DC1890">
            <w:pPr>
              <w:pStyle w:val="BodyText3"/>
              <w:spacing w:before="120"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</w:pP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Realisasi Belanja Negara pada TA 201</w:t>
            </w:r>
            <w:r w:rsidR="00B93076"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5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adalah sebesar Rp</w:t>
            </w:r>
            <w:r w:rsidR="00D8721C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. 98.648.136.145</w:t>
            </w:r>
            <w:r w:rsidR="008F2C14"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atau mencapai </w:t>
            </w:r>
            <w:r w:rsidR="00D8721C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97,74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persen dari alokasi anggaran sebesar Rp</w:t>
            </w:r>
            <w:r w:rsidR="00D8721C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. 100.924.191.000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965FEB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761445" w:rsidRDefault="00761445" w:rsidP="0047136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7373" w:rsidRPr="00CA7373" w:rsidRDefault="00CA7373" w:rsidP="0047136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445" w:rsidRPr="00DC1890" w:rsidTr="00761B0C">
        <w:trPr>
          <w:trHeight w:val="1449"/>
        </w:trPr>
        <w:tc>
          <w:tcPr>
            <w:tcW w:w="9289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761445" w:rsidRPr="00E92B68" w:rsidRDefault="00761445" w:rsidP="00DC1890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E92B68">
              <w:rPr>
                <w:rFonts w:ascii="Arial" w:hAnsi="Arial" w:cs="Arial"/>
                <w:b/>
                <w:lang w:val="id-ID"/>
              </w:rPr>
              <w:t>NERACA</w:t>
            </w:r>
          </w:p>
          <w:p w:rsidR="00761445" w:rsidRPr="00E92B68" w:rsidRDefault="00761445" w:rsidP="004D1CCE">
            <w:pPr>
              <w:pStyle w:val="BodyText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Neraca menggambarkan posisi keuangan entitas mengenai </w:t>
            </w:r>
            <w:r w:rsidR="004D1CCE"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aset, kewajiban, dan ekuitas </w:t>
            </w:r>
            <w:r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 pada 31 Desember 201</w:t>
            </w:r>
            <w:r w:rsidR="00471361" w:rsidRPr="00E92B68"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 . </w:t>
            </w:r>
          </w:p>
        </w:tc>
      </w:tr>
      <w:tr w:rsidR="00761445" w:rsidRPr="00DC1890" w:rsidTr="00761B0C">
        <w:trPr>
          <w:trHeight w:val="2439"/>
        </w:trPr>
        <w:tc>
          <w:tcPr>
            <w:tcW w:w="9289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761445" w:rsidRPr="00E92B68" w:rsidRDefault="00761445" w:rsidP="00DC1890">
            <w:pPr>
              <w:pStyle w:val="BodyText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B68">
              <w:rPr>
                <w:rFonts w:ascii="Arial" w:hAnsi="Arial" w:cs="Arial"/>
                <w:sz w:val="24"/>
                <w:szCs w:val="24"/>
              </w:rPr>
              <w:t>Nilai Aset per 31 Desember 201</w:t>
            </w:r>
            <w:r w:rsidR="00471361" w:rsidRPr="00E92B68">
              <w:rPr>
                <w:rFonts w:ascii="Arial" w:hAnsi="Arial" w:cs="Arial"/>
                <w:sz w:val="24"/>
                <w:szCs w:val="24"/>
                <w:lang w:val="id-ID"/>
              </w:rPr>
              <w:t>5</w:t>
            </w:r>
            <w:r w:rsidRPr="00E92B68">
              <w:rPr>
                <w:rFonts w:ascii="Arial" w:hAnsi="Arial" w:cs="Arial"/>
                <w:sz w:val="24"/>
                <w:szCs w:val="24"/>
              </w:rPr>
              <w:t xml:space="preserve"> dicatat dan disajikan </w:t>
            </w:r>
            <w:r w:rsidR="00C74DF2" w:rsidRPr="00E92B68">
              <w:rPr>
                <w:rFonts w:ascii="Arial" w:hAnsi="Arial" w:cs="Arial"/>
                <w:sz w:val="24"/>
                <w:szCs w:val="24"/>
              </w:rPr>
              <w:t>sebesar Rp</w:t>
            </w:r>
            <w:r w:rsidR="00E92B68">
              <w:rPr>
                <w:rFonts w:ascii="Arial" w:hAnsi="Arial" w:cs="Arial"/>
                <w:sz w:val="24"/>
                <w:szCs w:val="24"/>
                <w:lang w:val="id-ID"/>
              </w:rPr>
              <w:t>.76.531.768.767</w:t>
            </w:r>
            <w:r w:rsidRPr="00E92B68">
              <w:rPr>
                <w:rFonts w:ascii="Arial" w:hAnsi="Arial" w:cs="Arial"/>
                <w:sz w:val="24"/>
                <w:szCs w:val="24"/>
              </w:rPr>
              <w:t xml:space="preserve"> yang terdiri dari: Aset</w:t>
            </w:r>
            <w:r w:rsidR="00C74DF2" w:rsidRPr="00E92B68">
              <w:rPr>
                <w:rFonts w:ascii="Arial" w:hAnsi="Arial" w:cs="Arial"/>
                <w:sz w:val="24"/>
                <w:szCs w:val="24"/>
              </w:rPr>
              <w:t xml:space="preserve"> Lancar sebesar Rp</w:t>
            </w:r>
            <w:r w:rsidR="00E92B68">
              <w:rPr>
                <w:rFonts w:ascii="Arial" w:hAnsi="Arial" w:cs="Arial"/>
                <w:sz w:val="24"/>
                <w:szCs w:val="24"/>
                <w:lang w:val="id-ID"/>
              </w:rPr>
              <w:t>.207.462.395</w:t>
            </w:r>
            <w:r w:rsidRPr="00E92B68">
              <w:rPr>
                <w:rFonts w:ascii="Arial" w:hAnsi="Arial" w:cs="Arial"/>
                <w:sz w:val="24"/>
                <w:szCs w:val="24"/>
              </w:rPr>
              <w:t>; Aset Tetap (neto</w:t>
            </w:r>
            <w:r w:rsidR="00B93076"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) </w:t>
            </w:r>
            <w:r w:rsidRPr="00E92B68">
              <w:rPr>
                <w:rFonts w:ascii="Arial" w:hAnsi="Arial" w:cs="Arial"/>
                <w:sz w:val="24"/>
                <w:szCs w:val="24"/>
              </w:rPr>
              <w:t>sebesar Rp</w:t>
            </w:r>
            <w:r w:rsidR="00E92B68">
              <w:rPr>
                <w:rFonts w:ascii="Arial" w:hAnsi="Arial" w:cs="Arial"/>
                <w:sz w:val="24"/>
                <w:szCs w:val="24"/>
                <w:lang w:val="id-ID"/>
              </w:rPr>
              <w:t>.76.324.306.372</w:t>
            </w:r>
            <w:r w:rsidRPr="00E92B68">
              <w:rPr>
                <w:rFonts w:ascii="Arial" w:hAnsi="Arial" w:cs="Arial"/>
                <w:sz w:val="24"/>
                <w:szCs w:val="24"/>
              </w:rPr>
              <w:t>; Piutang Jangka Panjang (neto</w:t>
            </w:r>
            <w:r w:rsidR="00B93076" w:rsidRPr="00E92B68">
              <w:rPr>
                <w:rFonts w:ascii="Arial" w:hAnsi="Arial" w:cs="Arial"/>
                <w:sz w:val="24"/>
                <w:szCs w:val="24"/>
                <w:lang w:val="id-ID"/>
              </w:rPr>
              <w:t>)</w:t>
            </w:r>
            <w:r w:rsidR="00C74DF2" w:rsidRPr="00E92B68">
              <w:rPr>
                <w:rFonts w:ascii="Arial" w:hAnsi="Arial" w:cs="Arial"/>
                <w:sz w:val="24"/>
                <w:szCs w:val="24"/>
              </w:rPr>
              <w:t xml:space="preserve"> sebesar Rp</w:t>
            </w:r>
            <w:r w:rsidR="00E92B68">
              <w:rPr>
                <w:rFonts w:ascii="Arial" w:hAnsi="Arial" w:cs="Arial"/>
                <w:sz w:val="24"/>
                <w:szCs w:val="24"/>
                <w:lang w:val="id-ID"/>
              </w:rPr>
              <w:t>.0</w:t>
            </w:r>
            <w:r w:rsidRPr="00E92B68">
              <w:rPr>
                <w:rFonts w:ascii="Arial" w:hAnsi="Arial" w:cs="Arial"/>
                <w:sz w:val="24"/>
                <w:szCs w:val="24"/>
              </w:rPr>
              <w:t>; dan Aset Lainnya (neto</w:t>
            </w:r>
            <w:r w:rsidR="00B93076"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) </w:t>
            </w:r>
            <w:r w:rsidR="00E92B68">
              <w:rPr>
                <w:rFonts w:ascii="Arial" w:hAnsi="Arial" w:cs="Arial"/>
                <w:sz w:val="24"/>
                <w:szCs w:val="24"/>
              </w:rPr>
              <w:t>sebesar Rp.</w:t>
            </w:r>
            <w:r w:rsidR="000F21DE" w:rsidRPr="00E92B68"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  <w:r w:rsidRPr="00E92B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2778" w:rsidRPr="00E92B68" w:rsidRDefault="00761445" w:rsidP="006A2778">
            <w:pPr>
              <w:pStyle w:val="BodyText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92B68">
              <w:rPr>
                <w:rFonts w:ascii="Arial" w:hAnsi="Arial" w:cs="Arial"/>
                <w:sz w:val="24"/>
                <w:szCs w:val="24"/>
              </w:rPr>
              <w:t xml:space="preserve">Nilai Kewajiban </w:t>
            </w:r>
            <w:r w:rsidR="00B93076"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dan Ekuitas masing-masing </w:t>
            </w:r>
            <w:r w:rsidR="00C74DF2" w:rsidRPr="00E92B68">
              <w:rPr>
                <w:rFonts w:ascii="Arial" w:hAnsi="Arial" w:cs="Arial"/>
                <w:sz w:val="24"/>
                <w:szCs w:val="24"/>
              </w:rPr>
              <w:t>sebesar Rp</w:t>
            </w:r>
            <w:r w:rsidR="00E92B68">
              <w:rPr>
                <w:rFonts w:ascii="Arial" w:hAnsi="Arial" w:cs="Arial"/>
                <w:sz w:val="24"/>
                <w:szCs w:val="24"/>
                <w:lang w:val="id-ID"/>
              </w:rPr>
              <w:t>.110.484.020</w:t>
            </w:r>
            <w:r w:rsidR="00B93076" w:rsidRPr="00E92B68">
              <w:rPr>
                <w:rFonts w:ascii="Arial" w:hAnsi="Arial" w:cs="Arial"/>
                <w:sz w:val="24"/>
                <w:szCs w:val="24"/>
                <w:lang w:val="id-ID"/>
              </w:rPr>
              <w:t xml:space="preserve"> dan </w:t>
            </w:r>
            <w:r w:rsidRPr="00E92B68">
              <w:rPr>
                <w:rFonts w:ascii="Arial" w:hAnsi="Arial" w:cs="Arial"/>
                <w:sz w:val="24"/>
                <w:szCs w:val="24"/>
                <w:lang w:val="id-ID"/>
              </w:rPr>
              <w:t>Rp</w:t>
            </w:r>
            <w:r w:rsidR="00E92B68">
              <w:rPr>
                <w:rFonts w:ascii="Arial" w:hAnsi="Arial" w:cs="Arial"/>
                <w:sz w:val="24"/>
                <w:szCs w:val="24"/>
                <w:lang w:val="id-ID"/>
              </w:rPr>
              <w:t>.76.421.284.747</w:t>
            </w:r>
            <w:r w:rsidRPr="00E92B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06B8" w:rsidRPr="00E92B68" w:rsidRDefault="00FB06B8" w:rsidP="006A2778">
            <w:pPr>
              <w:pStyle w:val="BodyText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B06B8" w:rsidRPr="00E92B68" w:rsidRDefault="00FB06B8" w:rsidP="006A2778">
            <w:pPr>
              <w:pStyle w:val="BodyText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97733C" w:rsidRPr="00E92B68" w:rsidRDefault="0097733C" w:rsidP="0097733C">
            <w:pPr>
              <w:pStyle w:val="BodyText3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733C" w:rsidRPr="00E92B68" w:rsidRDefault="0097733C" w:rsidP="0097733C">
            <w:pPr>
              <w:pStyle w:val="BodyText3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733C" w:rsidRPr="00E92B68" w:rsidRDefault="0097733C" w:rsidP="0097733C">
            <w:pPr>
              <w:pStyle w:val="BodyText3"/>
              <w:spacing w:before="6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7D4" w:rsidRPr="00DC1890" w:rsidTr="00761B0C">
        <w:tc>
          <w:tcPr>
            <w:tcW w:w="9289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F667D4" w:rsidRPr="006639FC" w:rsidRDefault="00F667D4" w:rsidP="0097733C">
            <w:pPr>
              <w:numPr>
                <w:ilvl w:val="0"/>
                <w:numId w:val="1"/>
              </w:numPr>
              <w:spacing w:before="60"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id-ID"/>
              </w:rPr>
            </w:pPr>
            <w:r w:rsidRPr="006639FC">
              <w:rPr>
                <w:rFonts w:ascii="Arial" w:hAnsi="Arial" w:cs="Arial"/>
                <w:b/>
                <w:color w:val="002060"/>
                <w:lang w:val="id-ID"/>
              </w:rPr>
              <w:lastRenderedPageBreak/>
              <w:t xml:space="preserve">LAPORAN OPERASIONAL </w:t>
            </w:r>
          </w:p>
          <w:p w:rsidR="00F667D4" w:rsidRPr="006639FC" w:rsidRDefault="00F667D4" w:rsidP="00903FFE">
            <w:pPr>
              <w:spacing w:line="360" w:lineRule="auto"/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6639FC">
              <w:rPr>
                <w:rFonts w:ascii="Arial" w:eastAsia="Times New Roman" w:hAnsi="Arial" w:cs="Arial"/>
                <w:lang w:val="id-ID" w:eastAsia="id-ID"/>
              </w:rPr>
              <w:t>Laporan Operasional menyajikan berbagai unsur pendapatan-LO, beban, surplus/defisit dari operasi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>onal</w:t>
            </w:r>
            <w:r w:rsidRPr="006639FC">
              <w:rPr>
                <w:rFonts w:ascii="Arial" w:eastAsia="Times New Roman" w:hAnsi="Arial" w:cs="Arial"/>
                <w:lang w:val="id-ID" w:eastAsia="id-ID"/>
              </w:rPr>
              <w:t>, surplus/defisit dari kegiatan nonoperasional, surplus/defisit sebelum pos luar biasa, pos luar biasa, dan  surplus/defisit-LO</w:t>
            </w:r>
            <w:r w:rsidRPr="00F667D4">
              <w:rPr>
                <w:rFonts w:ascii="Arial" w:eastAsia="Times New Roman" w:hAnsi="Arial" w:cs="Arial"/>
                <w:sz w:val="25"/>
                <w:szCs w:val="25"/>
                <w:lang w:val="id-ID" w:eastAsia="id-ID"/>
              </w:rPr>
              <w:t xml:space="preserve">, yang </w:t>
            </w:r>
            <w:r w:rsidRPr="006639FC">
              <w:rPr>
                <w:rFonts w:ascii="Arial" w:eastAsia="Times New Roman" w:hAnsi="Arial" w:cs="Arial"/>
                <w:lang w:val="id-ID" w:eastAsia="id-ID"/>
              </w:rPr>
              <w:t>diperlukan untuk penyajian yang wajar.</w:t>
            </w:r>
            <w:r w:rsidR="004D1CCE" w:rsidRPr="006639FC">
              <w:rPr>
                <w:rFonts w:ascii="Arial" w:eastAsia="Times New Roman" w:hAnsi="Arial" w:cs="Arial"/>
                <w:lang w:eastAsia="id-ID"/>
              </w:rPr>
              <w:t xml:space="preserve"> Pendapatan-LO untuk periode sampai dengan 31 Desember </w:t>
            </w:r>
            <w:r w:rsidR="003541C5">
              <w:rPr>
                <w:rFonts w:ascii="Arial" w:eastAsia="Times New Roman" w:hAnsi="Arial" w:cs="Arial"/>
                <w:lang w:eastAsia="id-ID"/>
              </w:rPr>
              <w:t>2015 adalah sebesar Rp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>. 8.740.727.783</w:t>
            </w:r>
            <w:r w:rsidR="004D1CCE" w:rsidRPr="006639FC">
              <w:rPr>
                <w:rFonts w:ascii="Arial" w:eastAsia="Times New Roman" w:hAnsi="Arial" w:cs="Arial"/>
                <w:lang w:eastAsia="id-ID"/>
              </w:rPr>
              <w:t>, sedangkan jumlah b</w:t>
            </w:r>
            <w:r w:rsidR="003541C5">
              <w:rPr>
                <w:rFonts w:ascii="Arial" w:eastAsia="Times New Roman" w:hAnsi="Arial" w:cs="Arial"/>
                <w:lang w:eastAsia="id-ID"/>
              </w:rPr>
              <w:t>eban adalah sebesar Rp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 xml:space="preserve">. </w:t>
            </w:r>
            <w:r w:rsidR="00E92B68">
              <w:rPr>
                <w:rFonts w:ascii="Arial" w:eastAsia="Times New Roman" w:hAnsi="Arial" w:cs="Arial"/>
                <w:lang w:val="id-ID" w:eastAsia="id-ID"/>
              </w:rPr>
              <w:t>22.257.748.398</w:t>
            </w:r>
            <w:r w:rsidR="004D1CCE" w:rsidRPr="006639FC">
              <w:rPr>
                <w:rFonts w:ascii="Arial" w:eastAsia="Times New Roman" w:hAnsi="Arial" w:cs="Arial"/>
                <w:lang w:eastAsia="id-ID"/>
              </w:rPr>
              <w:t xml:space="preserve"> sehingga</w:t>
            </w:r>
            <w:r w:rsidR="003541C5">
              <w:rPr>
                <w:rFonts w:ascii="Arial" w:eastAsia="Times New Roman" w:hAnsi="Arial" w:cs="Arial"/>
                <w:lang w:eastAsia="id-ID"/>
              </w:rPr>
              <w:t xml:space="preserve"> terdapat</w:t>
            </w:r>
            <w:r w:rsidR="003541C5">
              <w:rPr>
                <w:rFonts w:ascii="Arial" w:eastAsia="Times New Roman" w:hAnsi="Arial" w:cs="Arial"/>
                <w:lang w:val="id-ID" w:eastAsia="id-ID"/>
              </w:rPr>
              <w:t xml:space="preserve"> Defisit</w:t>
            </w:r>
            <w:r w:rsidR="004D1CCE" w:rsidRPr="006639FC">
              <w:rPr>
                <w:rFonts w:ascii="Arial" w:eastAsia="Times New Roman" w:hAnsi="Arial" w:cs="Arial"/>
                <w:lang w:eastAsia="id-ID"/>
              </w:rPr>
              <w:t xml:space="preserve"> dari Kegiatan Operasional  seni</w:t>
            </w:r>
            <w:r w:rsidR="003541C5">
              <w:rPr>
                <w:rFonts w:ascii="Arial" w:eastAsia="Times New Roman" w:hAnsi="Arial" w:cs="Arial"/>
                <w:lang w:val="id-ID" w:eastAsia="id-ID"/>
              </w:rPr>
              <w:t>l</w:t>
            </w:r>
            <w:r w:rsidR="003541C5">
              <w:rPr>
                <w:rFonts w:ascii="Arial" w:eastAsia="Times New Roman" w:hAnsi="Arial" w:cs="Arial"/>
                <w:lang w:eastAsia="id-ID"/>
              </w:rPr>
              <w:t>ai Rp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 xml:space="preserve">. </w:t>
            </w:r>
            <w:r w:rsidR="00771EE8">
              <w:rPr>
                <w:rFonts w:ascii="Arial" w:eastAsia="Times New Roman" w:hAnsi="Arial" w:cs="Arial"/>
                <w:lang w:eastAsia="id-ID"/>
              </w:rPr>
              <w:t>(</w:t>
            </w:r>
            <w:r w:rsidR="00E92B68">
              <w:rPr>
                <w:rFonts w:ascii="Arial" w:eastAsia="Times New Roman" w:hAnsi="Arial" w:cs="Arial"/>
                <w:lang w:val="id-ID" w:eastAsia="id-ID"/>
              </w:rPr>
              <w:t>13.517.020.615</w:t>
            </w:r>
            <w:r w:rsidR="00771EE8">
              <w:rPr>
                <w:rFonts w:ascii="Arial" w:eastAsia="Times New Roman" w:hAnsi="Arial" w:cs="Arial"/>
                <w:lang w:eastAsia="id-ID"/>
              </w:rPr>
              <w:t>)</w:t>
            </w:r>
            <w:r w:rsidR="000F21DE">
              <w:rPr>
                <w:rFonts w:ascii="Arial" w:eastAsia="Times New Roman" w:hAnsi="Arial" w:cs="Arial"/>
                <w:lang w:val="id-ID" w:eastAsia="id-ID"/>
              </w:rPr>
              <w:t>.</w:t>
            </w:r>
            <w:r w:rsidR="004D1CCE" w:rsidRPr="006639FC">
              <w:rPr>
                <w:rFonts w:ascii="Arial" w:eastAsia="Times New Roman" w:hAnsi="Arial" w:cs="Arial"/>
                <w:lang w:eastAsia="id-ID"/>
              </w:rPr>
              <w:t xml:space="preserve"> Kegiatan Non Operasional dan Pos-Pos Luar Biasa ma</w:t>
            </w:r>
            <w:r w:rsidR="003541C5">
              <w:rPr>
                <w:rFonts w:ascii="Arial" w:eastAsia="Times New Roman" w:hAnsi="Arial" w:cs="Arial"/>
                <w:lang w:eastAsia="id-ID"/>
              </w:rPr>
              <w:t xml:space="preserve">sing-masing </w:t>
            </w:r>
            <w:r w:rsidR="000F21DE">
              <w:rPr>
                <w:rFonts w:ascii="Arial" w:eastAsia="Times New Roman" w:hAnsi="Arial" w:cs="Arial"/>
                <w:lang w:val="id-ID" w:eastAsia="id-ID"/>
              </w:rPr>
              <w:t xml:space="preserve">surplus </w:t>
            </w:r>
            <w:r w:rsidR="003541C5">
              <w:rPr>
                <w:rFonts w:ascii="Arial" w:eastAsia="Times New Roman" w:hAnsi="Arial" w:cs="Arial"/>
                <w:lang w:eastAsia="id-ID"/>
              </w:rPr>
              <w:t>sebesar Rp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>. 0</w:t>
            </w:r>
            <w:r w:rsidR="003541C5">
              <w:rPr>
                <w:rFonts w:ascii="Arial" w:eastAsia="Times New Roman" w:hAnsi="Arial" w:cs="Arial"/>
                <w:lang w:eastAsia="id-ID"/>
              </w:rPr>
              <w:t xml:space="preserve"> dan</w:t>
            </w:r>
            <w:r w:rsidR="003541C5">
              <w:rPr>
                <w:rFonts w:ascii="Arial" w:eastAsia="Times New Roman" w:hAnsi="Arial" w:cs="Arial"/>
                <w:lang w:val="id-ID" w:eastAsia="id-ID"/>
              </w:rPr>
              <w:t xml:space="preserve"> </w:t>
            </w:r>
            <w:r w:rsidR="000F21DE">
              <w:rPr>
                <w:rFonts w:ascii="Arial" w:eastAsia="Times New Roman" w:hAnsi="Arial" w:cs="Arial"/>
                <w:lang w:val="id-ID" w:eastAsia="id-ID"/>
              </w:rPr>
              <w:t>defisit sebesar Rp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>. 0</w:t>
            </w:r>
            <w:r w:rsidR="004D1CCE" w:rsidRPr="006639FC">
              <w:rPr>
                <w:rFonts w:ascii="Arial" w:eastAsia="Times New Roman" w:hAnsi="Arial" w:cs="Arial"/>
                <w:lang w:eastAsia="id-ID"/>
              </w:rPr>
              <w:t xml:space="preserve"> sehingga entitas mengalami Defi</w:t>
            </w:r>
            <w:r w:rsidR="003541C5">
              <w:rPr>
                <w:rFonts w:ascii="Arial" w:eastAsia="Times New Roman" w:hAnsi="Arial" w:cs="Arial"/>
                <w:lang w:eastAsia="id-ID"/>
              </w:rPr>
              <w:t>sit-LO sebesar Rp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 xml:space="preserve">. </w:t>
            </w:r>
            <w:r w:rsidR="00D8721C">
              <w:rPr>
                <w:rFonts w:ascii="Arial" w:eastAsia="Times New Roman" w:hAnsi="Arial" w:cs="Arial"/>
                <w:lang w:eastAsia="id-ID"/>
              </w:rPr>
              <w:t>(</w:t>
            </w:r>
            <w:r w:rsidR="00E92B68">
              <w:rPr>
                <w:rFonts w:ascii="Arial" w:eastAsia="Times New Roman" w:hAnsi="Arial" w:cs="Arial"/>
                <w:lang w:val="id-ID" w:eastAsia="id-ID"/>
              </w:rPr>
              <w:t>13.517.020.615</w:t>
            </w:r>
            <w:r w:rsidR="00D8721C">
              <w:rPr>
                <w:rFonts w:ascii="Arial" w:eastAsia="Times New Roman" w:hAnsi="Arial" w:cs="Arial"/>
                <w:lang w:eastAsia="id-ID"/>
              </w:rPr>
              <w:t>)</w:t>
            </w:r>
            <w:r w:rsidR="00D8721C">
              <w:rPr>
                <w:rFonts w:ascii="Arial" w:eastAsia="Times New Roman" w:hAnsi="Arial" w:cs="Arial"/>
                <w:lang w:val="id-ID" w:eastAsia="id-ID"/>
              </w:rPr>
              <w:t>.</w:t>
            </w:r>
          </w:p>
          <w:p w:rsidR="00F667D4" w:rsidRPr="00E92B68" w:rsidRDefault="00F667D4" w:rsidP="00903FFE">
            <w:pPr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92B68">
              <w:rPr>
                <w:rFonts w:ascii="Arial" w:hAnsi="Arial" w:cs="Arial"/>
                <w:b/>
                <w:lang w:val="id-ID"/>
              </w:rPr>
              <w:t>LAPORAN PERUBAHAN EKUITAS</w:t>
            </w:r>
          </w:p>
          <w:p w:rsidR="004D1CCE" w:rsidRPr="00FB06B8" w:rsidRDefault="00BF4B63" w:rsidP="00E92B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E92B68">
              <w:rPr>
                <w:rFonts w:ascii="Arial" w:hAnsi="Arial" w:cs="Arial"/>
              </w:rPr>
              <w:t xml:space="preserve">Laporan Perubahan Ekuitas </w:t>
            </w:r>
            <w:r w:rsidR="006519AC" w:rsidRPr="00E92B68">
              <w:rPr>
                <w:rFonts w:ascii="Arial" w:hAnsi="Arial" w:cs="Arial"/>
                <w:lang w:val="id-ID" w:eastAsia="id-ID"/>
              </w:rPr>
              <w:t xml:space="preserve">menyajikan informasi kenaikan atau penurunan ekuitas tahun pelaporan dibandingkan dengan tahun sebelumnya. </w:t>
            </w:r>
            <w:r w:rsidRPr="00E92B68">
              <w:rPr>
                <w:rFonts w:ascii="Arial" w:hAnsi="Arial" w:cs="Arial"/>
              </w:rPr>
              <w:t>Ekuitas pada tanggal 01 Januari</w:t>
            </w:r>
            <w:r w:rsidR="007B6186" w:rsidRPr="00E92B68">
              <w:rPr>
                <w:rFonts w:ascii="Arial" w:hAnsi="Arial" w:cs="Arial"/>
              </w:rPr>
              <w:t xml:space="preserve"> 201</w:t>
            </w:r>
            <w:r w:rsidR="000F21DE" w:rsidRPr="00E92B68">
              <w:rPr>
                <w:rFonts w:ascii="Arial" w:hAnsi="Arial" w:cs="Arial"/>
                <w:lang w:val="id-ID"/>
              </w:rPr>
              <w:t>5</w:t>
            </w:r>
            <w:r w:rsidR="007B6186" w:rsidRPr="00E92B68">
              <w:rPr>
                <w:rFonts w:ascii="Arial" w:hAnsi="Arial" w:cs="Arial"/>
              </w:rPr>
              <w:t xml:space="preserve"> adalah sebesar Rp</w:t>
            </w:r>
            <w:r w:rsidR="00D8721C" w:rsidRPr="00E92B68">
              <w:rPr>
                <w:rFonts w:ascii="Arial" w:hAnsi="Arial" w:cs="Arial"/>
                <w:lang w:val="id-ID"/>
              </w:rPr>
              <w:t>. 0</w:t>
            </w:r>
            <w:r w:rsidR="007B6186" w:rsidRPr="00E92B68">
              <w:rPr>
                <w:rFonts w:ascii="Arial" w:hAnsi="Arial" w:cs="Arial"/>
                <w:lang w:val="id-ID"/>
              </w:rPr>
              <w:t xml:space="preserve"> </w:t>
            </w:r>
            <w:r w:rsidR="007B6186" w:rsidRPr="00E92B68">
              <w:rPr>
                <w:rFonts w:ascii="Arial" w:hAnsi="Arial" w:cs="Arial"/>
              </w:rPr>
              <w:t>di</w:t>
            </w:r>
            <w:r w:rsidR="00B10E70" w:rsidRPr="00E92B68">
              <w:rPr>
                <w:rFonts w:ascii="Arial" w:hAnsi="Arial" w:cs="Arial"/>
                <w:lang w:val="id-ID"/>
              </w:rPr>
              <w:t>kurangi</w:t>
            </w:r>
            <w:r w:rsidR="007B6186" w:rsidRPr="00E92B68">
              <w:rPr>
                <w:rFonts w:ascii="Arial" w:hAnsi="Arial" w:cs="Arial"/>
              </w:rPr>
              <w:t xml:space="preserve"> </w:t>
            </w:r>
            <w:r w:rsidR="007B6186" w:rsidRPr="00E92B68">
              <w:rPr>
                <w:rFonts w:ascii="Arial" w:hAnsi="Arial" w:cs="Arial"/>
                <w:lang w:val="id-ID"/>
              </w:rPr>
              <w:t>Defisit</w:t>
            </w:r>
            <w:r w:rsidR="007B6186" w:rsidRPr="00E92B68">
              <w:rPr>
                <w:rFonts w:ascii="Arial" w:hAnsi="Arial" w:cs="Arial"/>
              </w:rPr>
              <w:t>-LO sebesar Rp</w:t>
            </w:r>
            <w:r w:rsidR="00D8721C" w:rsidRPr="00E92B68">
              <w:rPr>
                <w:rFonts w:ascii="Arial" w:hAnsi="Arial" w:cs="Arial"/>
                <w:lang w:val="id-ID"/>
              </w:rPr>
              <w:t xml:space="preserve">. </w:t>
            </w:r>
            <w:r w:rsidR="00D8721C" w:rsidRPr="00E92B68">
              <w:rPr>
                <w:rFonts w:ascii="Arial" w:eastAsia="Times New Roman" w:hAnsi="Arial" w:cs="Arial"/>
                <w:lang w:eastAsia="id-ID"/>
              </w:rPr>
              <w:t>(</w:t>
            </w:r>
            <w:r w:rsidR="00E92B68">
              <w:rPr>
                <w:rFonts w:ascii="Arial" w:eastAsia="Times New Roman" w:hAnsi="Arial" w:cs="Arial"/>
                <w:lang w:val="id-ID" w:eastAsia="id-ID"/>
              </w:rPr>
              <w:t>13.517.020.615</w:t>
            </w:r>
            <w:r w:rsidR="00D8721C" w:rsidRPr="00E92B68">
              <w:rPr>
                <w:rFonts w:ascii="Arial" w:eastAsia="Times New Roman" w:hAnsi="Arial" w:cs="Arial"/>
                <w:lang w:eastAsia="id-ID"/>
              </w:rPr>
              <w:t>)</w:t>
            </w:r>
            <w:r w:rsidR="00D8721C" w:rsidRPr="00E92B68">
              <w:rPr>
                <w:rFonts w:ascii="Arial" w:eastAsia="Times New Roman" w:hAnsi="Arial" w:cs="Arial"/>
                <w:lang w:val="id-ID" w:eastAsia="id-ID"/>
              </w:rPr>
              <w:t>.</w:t>
            </w:r>
            <w:r w:rsidR="00D8721C" w:rsidRPr="00E92B68">
              <w:rPr>
                <w:rFonts w:ascii="Arial" w:eastAsia="Times New Roman" w:hAnsi="Arial" w:cs="Arial"/>
                <w:lang w:eastAsia="id-ID"/>
              </w:rPr>
              <w:t xml:space="preserve"> </w:t>
            </w:r>
            <w:r w:rsidR="00771EE8" w:rsidRPr="00E92B68">
              <w:rPr>
                <w:rFonts w:ascii="Arial" w:hAnsi="Arial" w:cs="Arial"/>
              </w:rPr>
              <w:t>kemudian ditambah</w:t>
            </w:r>
            <w:r w:rsidRPr="00E92B68">
              <w:rPr>
                <w:rFonts w:ascii="Arial" w:hAnsi="Arial" w:cs="Arial"/>
              </w:rPr>
              <w:t xml:space="preserve"> dengan kor</w:t>
            </w:r>
            <w:r w:rsidR="007B6186" w:rsidRPr="00E92B68">
              <w:rPr>
                <w:rFonts w:ascii="Arial" w:hAnsi="Arial" w:cs="Arial"/>
              </w:rPr>
              <w:t>eksi-koreksi senilai Rp</w:t>
            </w:r>
            <w:r w:rsidR="00E92B68">
              <w:rPr>
                <w:rFonts w:ascii="Arial" w:hAnsi="Arial" w:cs="Arial"/>
                <w:lang w:val="id-ID"/>
              </w:rPr>
              <w:t>.30.897.000</w:t>
            </w:r>
            <w:r w:rsidR="0055402E" w:rsidRPr="00E92B68">
              <w:rPr>
                <w:rFonts w:ascii="Arial" w:hAnsi="Arial" w:cs="Arial"/>
                <w:lang w:val="id-ID"/>
              </w:rPr>
              <w:t xml:space="preserve"> dan ditambah Transaksi Antar Entitas sebesar Rp</w:t>
            </w:r>
            <w:r w:rsidR="00E92B68">
              <w:rPr>
                <w:rFonts w:ascii="Arial" w:hAnsi="Arial" w:cs="Arial"/>
                <w:lang w:val="id-ID"/>
              </w:rPr>
              <w:t>.</w:t>
            </w:r>
            <w:r w:rsidR="0055402E" w:rsidRPr="00E92B68">
              <w:rPr>
                <w:rFonts w:ascii="Arial" w:hAnsi="Arial" w:cs="Arial"/>
                <w:lang w:val="id-ID"/>
              </w:rPr>
              <w:t>1</w:t>
            </w:r>
            <w:r w:rsidR="00E92B68">
              <w:rPr>
                <w:rFonts w:ascii="Arial" w:hAnsi="Arial" w:cs="Arial"/>
                <w:lang w:val="id-ID"/>
              </w:rPr>
              <w:t xml:space="preserve">89.907.408.236 </w:t>
            </w:r>
            <w:r w:rsidRPr="00E92B68">
              <w:rPr>
                <w:rFonts w:ascii="Arial" w:hAnsi="Arial" w:cs="Arial"/>
              </w:rPr>
              <w:t>sehingga Ekuitas entitas pada tanggal 31 Desember</w:t>
            </w:r>
            <w:r w:rsidR="007B6186" w:rsidRPr="00E92B68">
              <w:rPr>
                <w:rFonts w:ascii="Arial" w:hAnsi="Arial" w:cs="Arial"/>
              </w:rPr>
              <w:t xml:space="preserve"> 2015 adalah senilai Rp</w:t>
            </w:r>
            <w:r w:rsidR="00E92B68">
              <w:rPr>
                <w:rFonts w:ascii="Arial" w:hAnsi="Arial" w:cs="Arial"/>
                <w:lang w:val="id-ID"/>
              </w:rPr>
              <w:t>.76.421.284.747</w:t>
            </w:r>
            <w:bookmarkStart w:id="0" w:name="_GoBack"/>
            <w:bookmarkEnd w:id="0"/>
            <w:r w:rsidR="007B6186" w:rsidRPr="00E92B68">
              <w:rPr>
                <w:rFonts w:ascii="Arial" w:hAnsi="Arial" w:cs="Arial"/>
                <w:lang w:val="id-ID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F667D4" w:rsidRPr="00DC1890" w:rsidTr="00761B0C">
        <w:tc>
          <w:tcPr>
            <w:tcW w:w="9289" w:type="dxa"/>
            <w:tcBorders>
              <w:top w:val="nil"/>
            </w:tcBorders>
            <w:shd w:val="clear" w:color="auto" w:fill="C6D9F1" w:themeFill="text2" w:themeFillTint="33"/>
          </w:tcPr>
          <w:p w:rsidR="00F667D4" w:rsidRPr="00DC1890" w:rsidRDefault="00F667D4" w:rsidP="00DC1890">
            <w:pPr>
              <w:numPr>
                <w:ilvl w:val="0"/>
                <w:numId w:val="1"/>
              </w:numPr>
              <w:spacing w:before="240" w:after="120" w:line="360" w:lineRule="auto"/>
              <w:jc w:val="both"/>
              <w:rPr>
                <w:rFonts w:ascii="Arial" w:hAnsi="Arial" w:cs="Arial"/>
                <w:color w:val="000080"/>
                <w:lang w:val="id-ID"/>
              </w:rPr>
            </w:pPr>
            <w:r w:rsidRPr="00DC1890">
              <w:rPr>
                <w:rFonts w:ascii="Arial" w:hAnsi="Arial" w:cs="Arial"/>
                <w:b/>
                <w:color w:val="000080"/>
                <w:lang w:val="id-ID"/>
              </w:rPr>
              <w:t>CATATAN ATAS LAPORAN KEUANGAN</w:t>
            </w:r>
          </w:p>
          <w:p w:rsidR="00F667D4" w:rsidRPr="006639FC" w:rsidRDefault="00F667D4" w:rsidP="00DC189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6639FC">
              <w:rPr>
                <w:rFonts w:ascii="Arial" w:hAnsi="Arial" w:cs="Arial"/>
                <w:lang w:val="id-ID"/>
              </w:rPr>
              <w:t xml:space="preserve">Catatan atas Laporan Keuangan (CaLK) </w:t>
            </w:r>
            <w:r w:rsidRPr="006639FC">
              <w:rPr>
                <w:rFonts w:ascii="Arial" w:hAnsi="Arial" w:cs="Arial"/>
              </w:rPr>
              <w:t xml:space="preserve">menyajikan informasi tentang </w:t>
            </w:r>
            <w:r w:rsidRPr="006639FC">
              <w:rPr>
                <w:rFonts w:ascii="Arial" w:hAnsi="Arial" w:cs="Arial"/>
                <w:lang w:val="id-ID"/>
              </w:rPr>
              <w:t>penjelasan atau daftar terinci atau analisis atas nilai suatu pos yang disajikan dalam Laporan Realisasi Anggaran</w:t>
            </w:r>
            <w:r w:rsidR="00771EE8">
              <w:rPr>
                <w:rFonts w:ascii="Arial" w:hAnsi="Arial" w:cs="Arial"/>
              </w:rPr>
              <w:t xml:space="preserve">, </w:t>
            </w:r>
            <w:r w:rsidRPr="006639FC">
              <w:rPr>
                <w:rFonts w:ascii="Arial" w:hAnsi="Arial" w:cs="Arial"/>
                <w:lang w:val="id-ID"/>
              </w:rPr>
              <w:t>Neraca</w:t>
            </w:r>
            <w:r w:rsidR="00771EE8">
              <w:rPr>
                <w:rFonts w:ascii="Arial" w:hAnsi="Arial" w:cs="Arial"/>
              </w:rPr>
              <w:t>, Laporan Operasional, dan Laporan Perubahan Ekuitas</w:t>
            </w:r>
            <w:r w:rsidRPr="006639FC">
              <w:rPr>
                <w:rFonts w:ascii="Arial" w:hAnsi="Arial" w:cs="Arial"/>
                <w:lang w:val="id-ID"/>
              </w:rPr>
              <w:t xml:space="preserve">. Termasuk pula dalam </w:t>
            </w:r>
            <w:r w:rsidRPr="006639FC">
              <w:rPr>
                <w:rFonts w:ascii="Arial" w:hAnsi="Arial" w:cs="Arial"/>
              </w:rPr>
              <w:t>CaLK</w:t>
            </w:r>
            <w:r w:rsidRPr="006639FC">
              <w:rPr>
                <w:rFonts w:ascii="Arial" w:hAnsi="Arial" w:cs="Arial"/>
                <w:lang w:val="id-ID"/>
              </w:rPr>
              <w:t xml:space="preserve"> adalah penyajian informasi yang diharuskan dan dianjurkan oleh Standar Akuntansi Pemerintahan serta pengungkapan-pengungkapan lainnya yang diperlukan untuk penyajian yang wajar atas laporan keuangan.</w:t>
            </w:r>
          </w:p>
          <w:p w:rsidR="00F667D4" w:rsidRPr="00DC1890" w:rsidRDefault="00F667D4" w:rsidP="00965FEB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5FE3" w:rsidRPr="00324264" w:rsidRDefault="00FE5FE3" w:rsidP="002A3B46">
      <w:pPr>
        <w:spacing w:line="360" w:lineRule="auto"/>
        <w:jc w:val="both"/>
        <w:rPr>
          <w:rFonts w:ascii="Arial" w:hAnsi="Arial" w:cs="Arial"/>
          <w:lang w:val="id-ID"/>
        </w:rPr>
      </w:pPr>
    </w:p>
    <w:sectPr w:rsidR="00FE5FE3" w:rsidRPr="00324264" w:rsidSect="00802861">
      <w:footerReference w:type="even" r:id="rId8"/>
      <w:footerReference w:type="default" r:id="rId9"/>
      <w:pgSz w:w="11909" w:h="16834" w:code="9"/>
      <w:pgMar w:top="1304" w:right="1418" w:bottom="1134" w:left="1418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EA" w:rsidRDefault="000205EA">
      <w:r>
        <w:separator/>
      </w:r>
    </w:p>
  </w:endnote>
  <w:endnote w:type="continuationSeparator" w:id="0">
    <w:p w:rsidR="000205EA" w:rsidRDefault="0002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4A" w:rsidRDefault="00F165A2" w:rsidP="007D2F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2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24A" w:rsidRDefault="0079524A" w:rsidP="007D2F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922"/>
      <w:docPartObj>
        <w:docPartGallery w:val="Page Numbers (Bottom of Page)"/>
        <w:docPartUnique/>
      </w:docPartObj>
    </w:sdtPr>
    <w:sdtEndPr/>
    <w:sdtContent>
      <w:p w:rsidR="00CA7373" w:rsidRDefault="00B30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24A" w:rsidRPr="009D511F" w:rsidRDefault="0079524A" w:rsidP="003A0326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EA" w:rsidRDefault="000205EA">
      <w:r>
        <w:separator/>
      </w:r>
    </w:p>
  </w:footnote>
  <w:footnote w:type="continuationSeparator" w:id="0">
    <w:p w:rsidR="000205EA" w:rsidRDefault="0002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875"/>
    <w:multiLevelType w:val="hybridMultilevel"/>
    <w:tmpl w:val="6A3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1347"/>
    <w:multiLevelType w:val="hybridMultilevel"/>
    <w:tmpl w:val="984C457E"/>
    <w:lvl w:ilvl="0" w:tplc="7F68352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A29"/>
    <w:rsid w:val="000000F8"/>
    <w:rsid w:val="00000707"/>
    <w:rsid w:val="00007A7B"/>
    <w:rsid w:val="0001378A"/>
    <w:rsid w:val="0001379B"/>
    <w:rsid w:val="000205EA"/>
    <w:rsid w:val="000343CD"/>
    <w:rsid w:val="0003524B"/>
    <w:rsid w:val="00050627"/>
    <w:rsid w:val="00050FEF"/>
    <w:rsid w:val="000512D7"/>
    <w:rsid w:val="00052499"/>
    <w:rsid w:val="00055695"/>
    <w:rsid w:val="00056DA1"/>
    <w:rsid w:val="00057BF4"/>
    <w:rsid w:val="000632F4"/>
    <w:rsid w:val="0006628F"/>
    <w:rsid w:val="000703C4"/>
    <w:rsid w:val="000751AE"/>
    <w:rsid w:val="000845E0"/>
    <w:rsid w:val="00087E7E"/>
    <w:rsid w:val="00090743"/>
    <w:rsid w:val="0009277D"/>
    <w:rsid w:val="00095D28"/>
    <w:rsid w:val="00096365"/>
    <w:rsid w:val="000A22AC"/>
    <w:rsid w:val="000A3CE2"/>
    <w:rsid w:val="000A4052"/>
    <w:rsid w:val="000A5EE3"/>
    <w:rsid w:val="000A75D4"/>
    <w:rsid w:val="000B0E1C"/>
    <w:rsid w:val="000C1004"/>
    <w:rsid w:val="000C18D6"/>
    <w:rsid w:val="000C2FE2"/>
    <w:rsid w:val="000C4B52"/>
    <w:rsid w:val="000C5929"/>
    <w:rsid w:val="000C7D00"/>
    <w:rsid w:val="000F21DE"/>
    <w:rsid w:val="000F4961"/>
    <w:rsid w:val="000F59E8"/>
    <w:rsid w:val="000F644E"/>
    <w:rsid w:val="001013E4"/>
    <w:rsid w:val="001026A6"/>
    <w:rsid w:val="00104C45"/>
    <w:rsid w:val="00105B9E"/>
    <w:rsid w:val="0011218B"/>
    <w:rsid w:val="001178FB"/>
    <w:rsid w:val="00121A8D"/>
    <w:rsid w:val="00134453"/>
    <w:rsid w:val="00136AF1"/>
    <w:rsid w:val="00147618"/>
    <w:rsid w:val="00150072"/>
    <w:rsid w:val="00152889"/>
    <w:rsid w:val="001547F6"/>
    <w:rsid w:val="00156000"/>
    <w:rsid w:val="0016048A"/>
    <w:rsid w:val="0016219E"/>
    <w:rsid w:val="00162A88"/>
    <w:rsid w:val="00171CE0"/>
    <w:rsid w:val="00194A36"/>
    <w:rsid w:val="001A57D1"/>
    <w:rsid w:val="001B6328"/>
    <w:rsid w:val="001B7DA1"/>
    <w:rsid w:val="001C4180"/>
    <w:rsid w:val="001D32B4"/>
    <w:rsid w:val="001F2929"/>
    <w:rsid w:val="001F5D13"/>
    <w:rsid w:val="001F7642"/>
    <w:rsid w:val="002053C3"/>
    <w:rsid w:val="00207435"/>
    <w:rsid w:val="00212012"/>
    <w:rsid w:val="002171D7"/>
    <w:rsid w:val="00221F91"/>
    <w:rsid w:val="002263D1"/>
    <w:rsid w:val="00232380"/>
    <w:rsid w:val="002361F5"/>
    <w:rsid w:val="00242EBB"/>
    <w:rsid w:val="002461AD"/>
    <w:rsid w:val="0024664B"/>
    <w:rsid w:val="00255DC9"/>
    <w:rsid w:val="00260EF6"/>
    <w:rsid w:val="00263B7A"/>
    <w:rsid w:val="002670E0"/>
    <w:rsid w:val="00270B06"/>
    <w:rsid w:val="00270EBF"/>
    <w:rsid w:val="00286F93"/>
    <w:rsid w:val="00294C8E"/>
    <w:rsid w:val="002969CE"/>
    <w:rsid w:val="002A3B46"/>
    <w:rsid w:val="002A68E3"/>
    <w:rsid w:val="002B1621"/>
    <w:rsid w:val="002B56D5"/>
    <w:rsid w:val="002B6E59"/>
    <w:rsid w:val="002D04AB"/>
    <w:rsid w:val="002E06E2"/>
    <w:rsid w:val="002E20C7"/>
    <w:rsid w:val="002E2384"/>
    <w:rsid w:val="002E2A8A"/>
    <w:rsid w:val="002E5A29"/>
    <w:rsid w:val="002F2941"/>
    <w:rsid w:val="002F4FEA"/>
    <w:rsid w:val="0030140C"/>
    <w:rsid w:val="003040A2"/>
    <w:rsid w:val="00305E19"/>
    <w:rsid w:val="00306A19"/>
    <w:rsid w:val="00313D6D"/>
    <w:rsid w:val="00322474"/>
    <w:rsid w:val="00324264"/>
    <w:rsid w:val="003322F8"/>
    <w:rsid w:val="00336226"/>
    <w:rsid w:val="00342568"/>
    <w:rsid w:val="00342D19"/>
    <w:rsid w:val="00347F78"/>
    <w:rsid w:val="003541C5"/>
    <w:rsid w:val="00355E18"/>
    <w:rsid w:val="00356615"/>
    <w:rsid w:val="00360297"/>
    <w:rsid w:val="0036652B"/>
    <w:rsid w:val="00366D72"/>
    <w:rsid w:val="0037052F"/>
    <w:rsid w:val="00371B9E"/>
    <w:rsid w:val="00380D51"/>
    <w:rsid w:val="003915A1"/>
    <w:rsid w:val="0039221F"/>
    <w:rsid w:val="003923E7"/>
    <w:rsid w:val="00393BAA"/>
    <w:rsid w:val="00396923"/>
    <w:rsid w:val="003A0326"/>
    <w:rsid w:val="003A3C65"/>
    <w:rsid w:val="003A6FDD"/>
    <w:rsid w:val="003C04B5"/>
    <w:rsid w:val="003E3C6D"/>
    <w:rsid w:val="003E490E"/>
    <w:rsid w:val="00403BF4"/>
    <w:rsid w:val="00406FD6"/>
    <w:rsid w:val="0041005B"/>
    <w:rsid w:val="00411C81"/>
    <w:rsid w:val="00413076"/>
    <w:rsid w:val="00417483"/>
    <w:rsid w:val="00417CA9"/>
    <w:rsid w:val="00417D4D"/>
    <w:rsid w:val="00423F08"/>
    <w:rsid w:val="00427C64"/>
    <w:rsid w:val="004503C9"/>
    <w:rsid w:val="00450AFD"/>
    <w:rsid w:val="0045157E"/>
    <w:rsid w:val="004520A7"/>
    <w:rsid w:val="00452CE6"/>
    <w:rsid w:val="00455FBD"/>
    <w:rsid w:val="00456E77"/>
    <w:rsid w:val="00467CC1"/>
    <w:rsid w:val="00470CC7"/>
    <w:rsid w:val="00471361"/>
    <w:rsid w:val="00473637"/>
    <w:rsid w:val="00473A6B"/>
    <w:rsid w:val="00477978"/>
    <w:rsid w:val="00481C38"/>
    <w:rsid w:val="00485AAC"/>
    <w:rsid w:val="00494BC5"/>
    <w:rsid w:val="00494F53"/>
    <w:rsid w:val="00497D24"/>
    <w:rsid w:val="004A0700"/>
    <w:rsid w:val="004A2912"/>
    <w:rsid w:val="004A6A06"/>
    <w:rsid w:val="004C3B9D"/>
    <w:rsid w:val="004C7F9D"/>
    <w:rsid w:val="004D1CCE"/>
    <w:rsid w:val="004D38C5"/>
    <w:rsid w:val="004D3E37"/>
    <w:rsid w:val="004F1C9B"/>
    <w:rsid w:val="004F61E9"/>
    <w:rsid w:val="005064EE"/>
    <w:rsid w:val="00521CA6"/>
    <w:rsid w:val="00521F0F"/>
    <w:rsid w:val="005253BB"/>
    <w:rsid w:val="00526A33"/>
    <w:rsid w:val="00540028"/>
    <w:rsid w:val="00551E1A"/>
    <w:rsid w:val="0055402E"/>
    <w:rsid w:val="0055730B"/>
    <w:rsid w:val="00582DB9"/>
    <w:rsid w:val="005868AE"/>
    <w:rsid w:val="00587C51"/>
    <w:rsid w:val="005B5F35"/>
    <w:rsid w:val="005C2326"/>
    <w:rsid w:val="005C2ABC"/>
    <w:rsid w:val="005C4AAA"/>
    <w:rsid w:val="005C5A21"/>
    <w:rsid w:val="005D0437"/>
    <w:rsid w:val="005D0441"/>
    <w:rsid w:val="005D184C"/>
    <w:rsid w:val="005D4B7C"/>
    <w:rsid w:val="005D7387"/>
    <w:rsid w:val="005E7DA0"/>
    <w:rsid w:val="005F0A5C"/>
    <w:rsid w:val="005F3951"/>
    <w:rsid w:val="0060302B"/>
    <w:rsid w:val="006044BF"/>
    <w:rsid w:val="0060726F"/>
    <w:rsid w:val="006100A1"/>
    <w:rsid w:val="00620132"/>
    <w:rsid w:val="00620B16"/>
    <w:rsid w:val="00621C1C"/>
    <w:rsid w:val="006248C7"/>
    <w:rsid w:val="00642E25"/>
    <w:rsid w:val="00645195"/>
    <w:rsid w:val="00646095"/>
    <w:rsid w:val="006519AC"/>
    <w:rsid w:val="006519C2"/>
    <w:rsid w:val="0065660C"/>
    <w:rsid w:val="00657E51"/>
    <w:rsid w:val="006639FC"/>
    <w:rsid w:val="00686CCA"/>
    <w:rsid w:val="006971EC"/>
    <w:rsid w:val="006A2778"/>
    <w:rsid w:val="006A2F97"/>
    <w:rsid w:val="006B0137"/>
    <w:rsid w:val="006B0B03"/>
    <w:rsid w:val="006D4D4C"/>
    <w:rsid w:val="006D5175"/>
    <w:rsid w:val="006F1EBA"/>
    <w:rsid w:val="00703906"/>
    <w:rsid w:val="0070647C"/>
    <w:rsid w:val="00710E80"/>
    <w:rsid w:val="007111BA"/>
    <w:rsid w:val="00711EC2"/>
    <w:rsid w:val="0071312C"/>
    <w:rsid w:val="007162A6"/>
    <w:rsid w:val="0071708E"/>
    <w:rsid w:val="00732AC8"/>
    <w:rsid w:val="00733CF8"/>
    <w:rsid w:val="007345F8"/>
    <w:rsid w:val="00734A7D"/>
    <w:rsid w:val="00740A95"/>
    <w:rsid w:val="007417D0"/>
    <w:rsid w:val="00745843"/>
    <w:rsid w:val="00745D83"/>
    <w:rsid w:val="00757AF6"/>
    <w:rsid w:val="00761445"/>
    <w:rsid w:val="00761B0C"/>
    <w:rsid w:val="00764724"/>
    <w:rsid w:val="00771EE8"/>
    <w:rsid w:val="00776CEE"/>
    <w:rsid w:val="00776D5C"/>
    <w:rsid w:val="00781C65"/>
    <w:rsid w:val="00786392"/>
    <w:rsid w:val="00786C0C"/>
    <w:rsid w:val="007870B1"/>
    <w:rsid w:val="0079524A"/>
    <w:rsid w:val="007A2F4A"/>
    <w:rsid w:val="007B0C3C"/>
    <w:rsid w:val="007B3E2C"/>
    <w:rsid w:val="007B6186"/>
    <w:rsid w:val="007C0CA2"/>
    <w:rsid w:val="007C49F2"/>
    <w:rsid w:val="007D2FE2"/>
    <w:rsid w:val="007D4FD8"/>
    <w:rsid w:val="007D61A0"/>
    <w:rsid w:val="007E30AD"/>
    <w:rsid w:val="007E492C"/>
    <w:rsid w:val="007F04F6"/>
    <w:rsid w:val="007F51EE"/>
    <w:rsid w:val="007F661B"/>
    <w:rsid w:val="0080173A"/>
    <w:rsid w:val="00802861"/>
    <w:rsid w:val="00806272"/>
    <w:rsid w:val="0080654D"/>
    <w:rsid w:val="008128BB"/>
    <w:rsid w:val="00812A21"/>
    <w:rsid w:val="0081539B"/>
    <w:rsid w:val="00825B98"/>
    <w:rsid w:val="00827A30"/>
    <w:rsid w:val="00830648"/>
    <w:rsid w:val="00831DDB"/>
    <w:rsid w:val="00833C30"/>
    <w:rsid w:val="00836B1D"/>
    <w:rsid w:val="0084014F"/>
    <w:rsid w:val="00842C95"/>
    <w:rsid w:val="008644CA"/>
    <w:rsid w:val="00865F5E"/>
    <w:rsid w:val="00873F76"/>
    <w:rsid w:val="00874C13"/>
    <w:rsid w:val="00881BD3"/>
    <w:rsid w:val="00886A1F"/>
    <w:rsid w:val="00887DEE"/>
    <w:rsid w:val="008929D2"/>
    <w:rsid w:val="008A410E"/>
    <w:rsid w:val="008C2613"/>
    <w:rsid w:val="008C2A62"/>
    <w:rsid w:val="008C4DA1"/>
    <w:rsid w:val="008D2407"/>
    <w:rsid w:val="008E0B78"/>
    <w:rsid w:val="008F2C14"/>
    <w:rsid w:val="008F2E38"/>
    <w:rsid w:val="008F365F"/>
    <w:rsid w:val="00900F3F"/>
    <w:rsid w:val="0091071C"/>
    <w:rsid w:val="00912B71"/>
    <w:rsid w:val="00922B5D"/>
    <w:rsid w:val="00922B8B"/>
    <w:rsid w:val="0093328D"/>
    <w:rsid w:val="00934911"/>
    <w:rsid w:val="009545CE"/>
    <w:rsid w:val="00961B83"/>
    <w:rsid w:val="009656D2"/>
    <w:rsid w:val="00965FEB"/>
    <w:rsid w:val="009673A5"/>
    <w:rsid w:val="00971FD2"/>
    <w:rsid w:val="0097733C"/>
    <w:rsid w:val="00980517"/>
    <w:rsid w:val="009836ED"/>
    <w:rsid w:val="0098416D"/>
    <w:rsid w:val="00991E25"/>
    <w:rsid w:val="00994745"/>
    <w:rsid w:val="009A0BEB"/>
    <w:rsid w:val="009C48D1"/>
    <w:rsid w:val="009C7BDC"/>
    <w:rsid w:val="009D39AE"/>
    <w:rsid w:val="009D511F"/>
    <w:rsid w:val="009E3097"/>
    <w:rsid w:val="009F62F9"/>
    <w:rsid w:val="009F6833"/>
    <w:rsid w:val="00A03443"/>
    <w:rsid w:val="00A044FF"/>
    <w:rsid w:val="00A054C7"/>
    <w:rsid w:val="00A112B9"/>
    <w:rsid w:val="00A27209"/>
    <w:rsid w:val="00A27418"/>
    <w:rsid w:val="00A37152"/>
    <w:rsid w:val="00A45B3F"/>
    <w:rsid w:val="00A55726"/>
    <w:rsid w:val="00A64381"/>
    <w:rsid w:val="00A715E0"/>
    <w:rsid w:val="00A9212C"/>
    <w:rsid w:val="00A92BEB"/>
    <w:rsid w:val="00AA0521"/>
    <w:rsid w:val="00AA2B1B"/>
    <w:rsid w:val="00AA39A0"/>
    <w:rsid w:val="00AA3C48"/>
    <w:rsid w:val="00AA3E54"/>
    <w:rsid w:val="00AA7D2F"/>
    <w:rsid w:val="00AD1B45"/>
    <w:rsid w:val="00AD361C"/>
    <w:rsid w:val="00AE0D98"/>
    <w:rsid w:val="00AE2DE1"/>
    <w:rsid w:val="00AE3D72"/>
    <w:rsid w:val="00AE675F"/>
    <w:rsid w:val="00AE72B0"/>
    <w:rsid w:val="00B04B3B"/>
    <w:rsid w:val="00B05345"/>
    <w:rsid w:val="00B10E70"/>
    <w:rsid w:val="00B14865"/>
    <w:rsid w:val="00B167EB"/>
    <w:rsid w:val="00B2579D"/>
    <w:rsid w:val="00B301BD"/>
    <w:rsid w:val="00B309D8"/>
    <w:rsid w:val="00B40071"/>
    <w:rsid w:val="00B42134"/>
    <w:rsid w:val="00B44463"/>
    <w:rsid w:val="00B457C4"/>
    <w:rsid w:val="00B52C7D"/>
    <w:rsid w:val="00B5541A"/>
    <w:rsid w:val="00B5567A"/>
    <w:rsid w:val="00B57052"/>
    <w:rsid w:val="00B6438D"/>
    <w:rsid w:val="00B67887"/>
    <w:rsid w:val="00B73228"/>
    <w:rsid w:val="00B80778"/>
    <w:rsid w:val="00B82309"/>
    <w:rsid w:val="00B86090"/>
    <w:rsid w:val="00B909F3"/>
    <w:rsid w:val="00B92F39"/>
    <w:rsid w:val="00B93076"/>
    <w:rsid w:val="00B976E5"/>
    <w:rsid w:val="00BA2A82"/>
    <w:rsid w:val="00BA3691"/>
    <w:rsid w:val="00BA76D7"/>
    <w:rsid w:val="00BB027C"/>
    <w:rsid w:val="00BB359A"/>
    <w:rsid w:val="00BB4ED7"/>
    <w:rsid w:val="00BC772E"/>
    <w:rsid w:val="00BD121F"/>
    <w:rsid w:val="00BE1B6D"/>
    <w:rsid w:val="00BE2047"/>
    <w:rsid w:val="00BE2F93"/>
    <w:rsid w:val="00BE4AF7"/>
    <w:rsid w:val="00BE6014"/>
    <w:rsid w:val="00BF23F8"/>
    <w:rsid w:val="00BF4B63"/>
    <w:rsid w:val="00C019FE"/>
    <w:rsid w:val="00C0630E"/>
    <w:rsid w:val="00C176AA"/>
    <w:rsid w:val="00C210F6"/>
    <w:rsid w:val="00C22590"/>
    <w:rsid w:val="00C308B9"/>
    <w:rsid w:val="00C35D94"/>
    <w:rsid w:val="00C4303D"/>
    <w:rsid w:val="00C454CD"/>
    <w:rsid w:val="00C50F04"/>
    <w:rsid w:val="00C557B1"/>
    <w:rsid w:val="00C607FC"/>
    <w:rsid w:val="00C651A4"/>
    <w:rsid w:val="00C73453"/>
    <w:rsid w:val="00C74DF2"/>
    <w:rsid w:val="00C75C66"/>
    <w:rsid w:val="00C7614F"/>
    <w:rsid w:val="00C76D2B"/>
    <w:rsid w:val="00C86D74"/>
    <w:rsid w:val="00C925FF"/>
    <w:rsid w:val="00C935C3"/>
    <w:rsid w:val="00CA7373"/>
    <w:rsid w:val="00CB02B6"/>
    <w:rsid w:val="00CB6831"/>
    <w:rsid w:val="00CC3DB1"/>
    <w:rsid w:val="00CC6117"/>
    <w:rsid w:val="00CD1696"/>
    <w:rsid w:val="00CD5A62"/>
    <w:rsid w:val="00CD7712"/>
    <w:rsid w:val="00CD7E5E"/>
    <w:rsid w:val="00CE00F1"/>
    <w:rsid w:val="00CF0950"/>
    <w:rsid w:val="00D03CA4"/>
    <w:rsid w:val="00D03D49"/>
    <w:rsid w:val="00D07F87"/>
    <w:rsid w:val="00D10E36"/>
    <w:rsid w:val="00D12B1E"/>
    <w:rsid w:val="00D1307B"/>
    <w:rsid w:val="00D166FD"/>
    <w:rsid w:val="00D21CB4"/>
    <w:rsid w:val="00D230D0"/>
    <w:rsid w:val="00D24280"/>
    <w:rsid w:val="00D269C8"/>
    <w:rsid w:val="00D34838"/>
    <w:rsid w:val="00D36AAF"/>
    <w:rsid w:val="00D37100"/>
    <w:rsid w:val="00D40CE9"/>
    <w:rsid w:val="00D4306D"/>
    <w:rsid w:val="00D454F3"/>
    <w:rsid w:val="00D47221"/>
    <w:rsid w:val="00D77EFA"/>
    <w:rsid w:val="00D81723"/>
    <w:rsid w:val="00D8345F"/>
    <w:rsid w:val="00D8358E"/>
    <w:rsid w:val="00D868B3"/>
    <w:rsid w:val="00D8721C"/>
    <w:rsid w:val="00DA0938"/>
    <w:rsid w:val="00DA33C1"/>
    <w:rsid w:val="00DB6299"/>
    <w:rsid w:val="00DB6A18"/>
    <w:rsid w:val="00DC1890"/>
    <w:rsid w:val="00DC1D08"/>
    <w:rsid w:val="00DC3CDE"/>
    <w:rsid w:val="00DC5D58"/>
    <w:rsid w:val="00DE1B21"/>
    <w:rsid w:val="00DE1C8C"/>
    <w:rsid w:val="00DF0B15"/>
    <w:rsid w:val="00E0192F"/>
    <w:rsid w:val="00E10B10"/>
    <w:rsid w:val="00E224EA"/>
    <w:rsid w:val="00E3121E"/>
    <w:rsid w:val="00E3597B"/>
    <w:rsid w:val="00E40F8E"/>
    <w:rsid w:val="00E41DDA"/>
    <w:rsid w:val="00E45AFB"/>
    <w:rsid w:val="00E46E43"/>
    <w:rsid w:val="00E563C5"/>
    <w:rsid w:val="00E6236C"/>
    <w:rsid w:val="00E6634C"/>
    <w:rsid w:val="00E6636C"/>
    <w:rsid w:val="00E702A4"/>
    <w:rsid w:val="00E71C96"/>
    <w:rsid w:val="00E73EE5"/>
    <w:rsid w:val="00E81DAF"/>
    <w:rsid w:val="00E8257F"/>
    <w:rsid w:val="00E85EC9"/>
    <w:rsid w:val="00E86B9E"/>
    <w:rsid w:val="00E92B68"/>
    <w:rsid w:val="00EA4EE7"/>
    <w:rsid w:val="00EB128B"/>
    <w:rsid w:val="00EB4A98"/>
    <w:rsid w:val="00EB631D"/>
    <w:rsid w:val="00EC34B8"/>
    <w:rsid w:val="00EC3539"/>
    <w:rsid w:val="00ED1F3E"/>
    <w:rsid w:val="00ED71ED"/>
    <w:rsid w:val="00EE202F"/>
    <w:rsid w:val="00EE6A15"/>
    <w:rsid w:val="00EE74D0"/>
    <w:rsid w:val="00EF60D4"/>
    <w:rsid w:val="00F000E9"/>
    <w:rsid w:val="00F017F9"/>
    <w:rsid w:val="00F0611D"/>
    <w:rsid w:val="00F0768D"/>
    <w:rsid w:val="00F161E2"/>
    <w:rsid w:val="00F165A2"/>
    <w:rsid w:val="00F22E77"/>
    <w:rsid w:val="00F370CF"/>
    <w:rsid w:val="00F417BD"/>
    <w:rsid w:val="00F4580F"/>
    <w:rsid w:val="00F507A6"/>
    <w:rsid w:val="00F5715F"/>
    <w:rsid w:val="00F607C1"/>
    <w:rsid w:val="00F63A2E"/>
    <w:rsid w:val="00F65019"/>
    <w:rsid w:val="00F650CA"/>
    <w:rsid w:val="00F667D4"/>
    <w:rsid w:val="00F80211"/>
    <w:rsid w:val="00F83219"/>
    <w:rsid w:val="00F83496"/>
    <w:rsid w:val="00F83CF2"/>
    <w:rsid w:val="00F90499"/>
    <w:rsid w:val="00F96978"/>
    <w:rsid w:val="00F96E87"/>
    <w:rsid w:val="00FA17FB"/>
    <w:rsid w:val="00FB06B8"/>
    <w:rsid w:val="00FB3CDE"/>
    <w:rsid w:val="00FB7D6B"/>
    <w:rsid w:val="00FC3645"/>
    <w:rsid w:val="00FE1B12"/>
    <w:rsid w:val="00FE5FE3"/>
    <w:rsid w:val="00FE702B"/>
    <w:rsid w:val="00FE75E6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58A736-6F13-4501-856E-F5CFABD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87"/>
    <w:rPr>
      <w:sz w:val="24"/>
      <w:szCs w:val="24"/>
      <w:lang w:val="en-US" w:eastAsia="ja-JP"/>
    </w:rPr>
  </w:style>
  <w:style w:type="paragraph" w:styleId="Heading4">
    <w:name w:val="heading 4"/>
    <w:basedOn w:val="Normal"/>
    <w:next w:val="Normal"/>
    <w:qFormat/>
    <w:rsid w:val="0003524B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2F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2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FE2"/>
  </w:style>
  <w:style w:type="paragraph" w:styleId="BodyText3">
    <w:name w:val="Body Text 3"/>
    <w:basedOn w:val="Normal"/>
    <w:link w:val="BodyText3Char"/>
    <w:rsid w:val="00D230D0"/>
    <w:pPr>
      <w:spacing w:after="120"/>
    </w:pPr>
    <w:rPr>
      <w:rFonts w:eastAsia="Times New Roman"/>
      <w:sz w:val="16"/>
      <w:szCs w:val="16"/>
      <w:lang w:eastAsia="en-US"/>
    </w:rPr>
  </w:style>
  <w:style w:type="paragraph" w:styleId="BodyText">
    <w:name w:val="Body Text"/>
    <w:basedOn w:val="Normal"/>
    <w:rsid w:val="00D230D0"/>
    <w:pPr>
      <w:spacing w:after="120"/>
    </w:pPr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0632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9524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524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511F"/>
    <w:rPr>
      <w:sz w:val="24"/>
      <w:szCs w:val="24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263B7A"/>
    <w:rPr>
      <w:rFonts w:eastAsia="Times New Roman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2407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F16D-0838-4485-8284-E6A46EA1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-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BAKUN</dc:creator>
  <cp:lastModifiedBy>hp</cp:lastModifiedBy>
  <cp:revision>8</cp:revision>
  <cp:lastPrinted>2014-12-15T03:15:00Z</cp:lastPrinted>
  <dcterms:created xsi:type="dcterms:W3CDTF">2014-11-23T09:59:00Z</dcterms:created>
  <dcterms:modified xsi:type="dcterms:W3CDTF">2016-02-04T02:46:00Z</dcterms:modified>
</cp:coreProperties>
</file>